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0369E" w14:textId="2CBE92E0" w:rsidR="001A351C" w:rsidRDefault="007F2388">
      <w:bookmarkStart w:id="0" w:name="_Hlk37076892"/>
      <w:r w:rsidRPr="003C73F4">
        <w:rPr>
          <w:noProof/>
        </w:rPr>
        <w:drawing>
          <wp:inline distT="0" distB="0" distL="0" distR="0" wp14:anchorId="2FD1E6A2" wp14:editId="22899F2F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6155945" w14:textId="77777777" w:rsidR="00443643" w:rsidRDefault="00443643"/>
    <w:p w14:paraId="66DC2589" w14:textId="77777777" w:rsidR="007F2388" w:rsidRDefault="007F2388"/>
    <w:p w14:paraId="2698E651" w14:textId="335316AA" w:rsidR="007F2388" w:rsidRDefault="00443643" w:rsidP="007F2388">
      <w:pPr>
        <w:jc w:val="center"/>
      </w:pPr>
      <w:r>
        <w:rPr>
          <w:noProof/>
        </w:rPr>
        <w:drawing>
          <wp:inline distT="0" distB="0" distL="0" distR="0" wp14:anchorId="0056A543" wp14:editId="0F57B8A4">
            <wp:extent cx="6115050" cy="11525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87A55" w14:textId="77777777" w:rsidR="007F2388" w:rsidRDefault="007F2388" w:rsidP="007F2388">
      <w:pPr>
        <w:jc w:val="center"/>
      </w:pPr>
    </w:p>
    <w:p w14:paraId="7009DE9A" w14:textId="77777777" w:rsidR="007F2388" w:rsidRDefault="007F2388" w:rsidP="007F2388">
      <w:pPr>
        <w:jc w:val="center"/>
      </w:pPr>
    </w:p>
    <w:p w14:paraId="45AD9DF9" w14:textId="77777777" w:rsidR="007F2388" w:rsidRPr="000B179A" w:rsidRDefault="007F2388" w:rsidP="007F2388">
      <w:pPr>
        <w:jc w:val="both"/>
        <w:rPr>
          <w:rFonts w:ascii="Century Gothic" w:hAnsi="Century Gothic"/>
          <w:b/>
          <w:sz w:val="16"/>
          <w:szCs w:val="16"/>
        </w:rPr>
      </w:pPr>
      <w:r w:rsidRPr="000B179A">
        <w:rPr>
          <w:rFonts w:ascii="Century Gothic" w:hAnsi="Century Gothic"/>
          <w:b/>
          <w:sz w:val="16"/>
          <w:szCs w:val="16"/>
        </w:rPr>
        <w:t>SUNLIGHT-ALVEOLARE</w:t>
      </w:r>
      <w:r>
        <w:rPr>
          <w:rFonts w:ascii="Century Gothic" w:hAnsi="Century Gothic"/>
          <w:b/>
          <w:sz w:val="16"/>
          <w:szCs w:val="16"/>
        </w:rPr>
        <w:t>16</w:t>
      </w:r>
      <w:r w:rsidRPr="000B179A">
        <w:rPr>
          <w:rFonts w:ascii="Century Gothic" w:hAnsi="Century Gothic"/>
          <w:b/>
          <w:sz w:val="16"/>
          <w:szCs w:val="16"/>
        </w:rPr>
        <w:t>+ALV</w:t>
      </w:r>
      <w:r>
        <w:rPr>
          <w:rFonts w:ascii="Century Gothic" w:hAnsi="Century Gothic"/>
          <w:b/>
          <w:sz w:val="16"/>
          <w:szCs w:val="16"/>
        </w:rPr>
        <w:t>10</w:t>
      </w:r>
    </w:p>
    <w:p w14:paraId="3092462E" w14:textId="77777777" w:rsidR="007F2388" w:rsidRPr="007F2388" w:rsidRDefault="007F2388" w:rsidP="007F2388">
      <w:pPr>
        <w:jc w:val="both"/>
        <w:rPr>
          <w:rFonts w:ascii="Century Gothic" w:hAnsi="Century Gothic"/>
          <w:sz w:val="16"/>
          <w:szCs w:val="16"/>
        </w:rPr>
      </w:pPr>
      <w:r w:rsidRPr="000B179A">
        <w:rPr>
          <w:rFonts w:ascii="Century Gothic" w:hAnsi="Century Gothic"/>
          <w:sz w:val="16"/>
          <w:szCs w:val="16"/>
        </w:rPr>
        <w:t xml:space="preserve">Cupola </w:t>
      </w:r>
      <w:r w:rsidRPr="000B179A">
        <w:rPr>
          <w:rFonts w:ascii="Century Gothic" w:hAnsi="Century Gothic"/>
          <w:b/>
          <w:sz w:val="16"/>
          <w:szCs w:val="16"/>
        </w:rPr>
        <w:t>SUNLIGHT-ALVEOLARE+ALV</w:t>
      </w:r>
      <w:r w:rsidRPr="000B179A">
        <w:rPr>
          <w:rFonts w:ascii="Century Gothic" w:hAnsi="Century Gothic"/>
          <w:sz w:val="16"/>
          <w:szCs w:val="16"/>
        </w:rPr>
        <w:t xml:space="preserve"> (UNI EN 1873), a parete multipla anticondensa. Parete esterna ottenuta per termoformatura di lastra piana di policarbonato alveolare originale di sintesi (Tipo, LEXAN®, </w:t>
      </w:r>
      <w:proofErr w:type="spellStart"/>
      <w:r w:rsidRPr="000B179A">
        <w:rPr>
          <w:rFonts w:ascii="Century Gothic" w:hAnsi="Century Gothic"/>
          <w:sz w:val="16"/>
          <w:szCs w:val="16"/>
        </w:rPr>
        <w:t>Makrolon</w:t>
      </w:r>
      <w:proofErr w:type="spellEnd"/>
      <w:r w:rsidRPr="000B179A">
        <w:rPr>
          <w:rFonts w:ascii="Century Gothic" w:hAnsi="Century Gothic"/>
          <w:sz w:val="16"/>
          <w:szCs w:val="16"/>
        </w:rPr>
        <w:t>®) rinforzato antigrandine, U.V. protetto per ridurre al massimo la tendenza nel tempo all’ingiallimento. Colore opale diffusore. Spessore 16 mm, 2,</w:t>
      </w:r>
      <w:r>
        <w:rPr>
          <w:rFonts w:ascii="Century Gothic" w:hAnsi="Century Gothic"/>
          <w:sz w:val="16"/>
          <w:szCs w:val="16"/>
        </w:rPr>
        <w:t>8</w:t>
      </w:r>
      <w:r w:rsidRPr="000B179A">
        <w:rPr>
          <w:rFonts w:ascii="Century Gothic" w:hAnsi="Century Gothic"/>
          <w:sz w:val="16"/>
          <w:szCs w:val="16"/>
        </w:rPr>
        <w:t xml:space="preserve">0 kg/mq Parete interna anticondensa costituita da lastra piana di policarbonato alveolare di spessore 10 mm, 1,70 kg/mq, colore neutro, UV protetto, Classe B-s1-d0 (UNI EN 13501-1). Forma a vela, di luce netta cm </w:t>
      </w:r>
      <w:r w:rsidRPr="00111632">
        <w:rPr>
          <w:rFonts w:ascii="Century Gothic" w:hAnsi="Century Gothic"/>
          <w:b/>
          <w:sz w:val="16"/>
          <w:szCs w:val="16"/>
        </w:rPr>
        <w:t>____x____</w:t>
      </w:r>
      <w:r w:rsidRPr="000B179A">
        <w:rPr>
          <w:rFonts w:ascii="Century Gothic" w:hAnsi="Century Gothic"/>
          <w:sz w:val="16"/>
          <w:szCs w:val="16"/>
        </w:rPr>
        <w:t xml:space="preserve"> (</w:t>
      </w:r>
      <w:r w:rsidRPr="000B179A">
        <w:rPr>
          <w:rFonts w:ascii="Century Gothic" w:hAnsi="Century Gothic" w:cs="Arial"/>
          <w:sz w:val="16"/>
          <w:szCs w:val="16"/>
        </w:rPr>
        <w:t xml:space="preserve">dimensione esterno bordo di appoggio comprensivo di guaina cm +12 da luce netta, ingombro esterno lucernario cm +20 da luce netta). </w:t>
      </w:r>
      <w:r w:rsidRPr="007F2388">
        <w:rPr>
          <w:rFonts w:ascii="Century Gothic" w:hAnsi="Century Gothic" w:cs="Arial"/>
          <w:sz w:val="16"/>
          <w:szCs w:val="16"/>
        </w:rPr>
        <w:t xml:space="preserve">Il fissaggio avviene mediante vite </w:t>
      </w:r>
      <w:proofErr w:type="spellStart"/>
      <w:r w:rsidRPr="007F2388">
        <w:rPr>
          <w:rFonts w:ascii="Century Gothic" w:hAnsi="Century Gothic" w:cs="Arial"/>
          <w:sz w:val="16"/>
          <w:szCs w:val="16"/>
        </w:rPr>
        <w:t>autoforante</w:t>
      </w:r>
      <w:proofErr w:type="spellEnd"/>
      <w:r w:rsidRPr="007F2388">
        <w:rPr>
          <w:rFonts w:ascii="Century Gothic" w:hAnsi="Century Gothic" w:cs="Arial"/>
          <w:sz w:val="16"/>
          <w:szCs w:val="16"/>
        </w:rPr>
        <w:t xml:space="preserve"> dotata di rondella inox con </w:t>
      </w:r>
      <w:proofErr w:type="spellStart"/>
      <w:r w:rsidRPr="007F2388">
        <w:rPr>
          <w:rFonts w:ascii="Century Gothic" w:hAnsi="Century Gothic" w:cs="Arial"/>
          <w:sz w:val="16"/>
          <w:szCs w:val="16"/>
        </w:rPr>
        <w:t>butz</w:t>
      </w:r>
      <w:proofErr w:type="spellEnd"/>
      <w:r w:rsidRPr="007F2388">
        <w:rPr>
          <w:rFonts w:ascii="Century Gothic" w:hAnsi="Century Gothic" w:cs="Arial"/>
          <w:sz w:val="16"/>
          <w:szCs w:val="16"/>
        </w:rPr>
        <w:t xml:space="preserve"> in EPDM. </w:t>
      </w:r>
      <w:r w:rsidRPr="007F2388">
        <w:rPr>
          <w:rFonts w:ascii="Century Gothic" w:hAnsi="Century Gothic"/>
          <w:sz w:val="16"/>
          <w:szCs w:val="16"/>
        </w:rPr>
        <w:t xml:space="preserve">Completa di guarnizioni di tenuta </w:t>
      </w:r>
      <w:proofErr w:type="spellStart"/>
      <w:r w:rsidRPr="007F2388">
        <w:rPr>
          <w:rFonts w:ascii="Century Gothic" w:hAnsi="Century Gothic"/>
          <w:sz w:val="16"/>
          <w:szCs w:val="16"/>
        </w:rPr>
        <w:t>aerstop</w:t>
      </w:r>
      <w:proofErr w:type="spellEnd"/>
      <w:r w:rsidRPr="007F2388">
        <w:rPr>
          <w:rFonts w:ascii="Century Gothic" w:hAnsi="Century Gothic"/>
          <w:sz w:val="16"/>
          <w:szCs w:val="16"/>
        </w:rPr>
        <w:t xml:space="preserve"> in EPDM, Classe M1 F1 (UNI EN 13501-1) ed accessori di posa. Conforme alla UNI EN 1873.</w:t>
      </w:r>
    </w:p>
    <w:p w14:paraId="769B1BB0" w14:textId="77777777" w:rsidR="007F2388" w:rsidRPr="007F2388" w:rsidRDefault="007F2388" w:rsidP="007F2388">
      <w:pPr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7F2388">
        <w:rPr>
          <w:rFonts w:ascii="Century Gothic" w:eastAsia="CenturyGothic" w:hAnsi="Century Gothic" w:cs="CenturyGothic"/>
          <w:b/>
          <w:sz w:val="16"/>
          <w:szCs w:val="16"/>
        </w:rPr>
        <w:t>Trasmittanza termica lucernario (</w:t>
      </w:r>
      <w:proofErr w:type="spellStart"/>
      <w:proofErr w:type="gramStart"/>
      <w:r w:rsidRPr="007F2388">
        <w:rPr>
          <w:rFonts w:ascii="Century Gothic" w:eastAsia="CenturyGothic" w:hAnsi="Century Gothic" w:cs="CenturyGothic"/>
          <w:b/>
          <w:sz w:val="16"/>
          <w:szCs w:val="16"/>
        </w:rPr>
        <w:t>Ur,ref</w:t>
      </w:r>
      <w:proofErr w:type="spellEnd"/>
      <w:proofErr w:type="gramEnd"/>
      <w:r w:rsidRPr="007F2388">
        <w:rPr>
          <w:rFonts w:ascii="Century Gothic" w:eastAsia="CenturyGothic" w:hAnsi="Century Gothic" w:cs="CenturyGothic"/>
          <w:b/>
          <w:sz w:val="16"/>
          <w:szCs w:val="16"/>
        </w:rPr>
        <w:t>) ≤ 1,00 W/m²K (UNI EN 1873)</w:t>
      </w:r>
    </w:p>
    <w:p w14:paraId="37822BFE" w14:textId="77777777" w:rsidR="007F2388" w:rsidRPr="007F2388" w:rsidRDefault="007F2388" w:rsidP="007F2388">
      <w:pPr>
        <w:autoSpaceDE w:val="0"/>
        <w:autoSpaceDN w:val="0"/>
        <w:adjustRightInd w:val="0"/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7F2388">
        <w:rPr>
          <w:rFonts w:ascii="Century Gothic" w:eastAsia="CenturyGothic" w:hAnsi="Century Gothic" w:cs="CenturyGothic"/>
          <w:b/>
          <w:sz w:val="16"/>
          <w:szCs w:val="16"/>
        </w:rPr>
        <w:t xml:space="preserve">Trasmittanza luce (LT%) </w:t>
      </w:r>
      <w:r w:rsidRPr="007F2388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7F2388">
        <w:rPr>
          <w:rFonts w:ascii="Century Gothic" w:eastAsia="CenturyGothic" w:hAnsi="Century Gothic" w:cs="CenturyGothic"/>
          <w:b/>
          <w:sz w:val="16"/>
          <w:szCs w:val="16"/>
        </w:rPr>
        <w:t xml:space="preserve"> 36</w:t>
      </w:r>
    </w:p>
    <w:p w14:paraId="17DE8F42" w14:textId="77777777" w:rsidR="007F2388" w:rsidRPr="007F2388" w:rsidRDefault="007F2388" w:rsidP="007F2388">
      <w:pPr>
        <w:autoSpaceDE w:val="0"/>
        <w:autoSpaceDN w:val="0"/>
        <w:adjustRightInd w:val="0"/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7F2388">
        <w:rPr>
          <w:rFonts w:ascii="Century Gothic" w:eastAsia="CenturyGothic" w:hAnsi="Century Gothic" w:cs="CenturyGothic"/>
          <w:b/>
          <w:sz w:val="16"/>
          <w:szCs w:val="16"/>
        </w:rPr>
        <w:t xml:space="preserve">Fattore solare (SF%) </w:t>
      </w:r>
      <w:r w:rsidRPr="007F2388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7F2388">
        <w:rPr>
          <w:rFonts w:ascii="Century Gothic" w:eastAsia="CenturyGothic" w:hAnsi="Century Gothic" w:cs="CenturyGothic"/>
          <w:b/>
          <w:sz w:val="16"/>
          <w:szCs w:val="16"/>
        </w:rPr>
        <w:t xml:space="preserve"> 52</w:t>
      </w:r>
    </w:p>
    <w:p w14:paraId="502AA49A" w14:textId="77777777" w:rsidR="007F2388" w:rsidRPr="000B179A" w:rsidRDefault="007F2388" w:rsidP="007F2388">
      <w:pPr>
        <w:autoSpaceDE w:val="0"/>
        <w:autoSpaceDN w:val="0"/>
        <w:adjustRightInd w:val="0"/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7F2388">
        <w:rPr>
          <w:rFonts w:ascii="Century Gothic" w:eastAsia="CenturyGothic" w:hAnsi="Century Gothic" w:cs="CenturyGothic"/>
          <w:b/>
          <w:sz w:val="16"/>
          <w:szCs w:val="16"/>
        </w:rPr>
        <w:t xml:space="preserve">Coefficiente di trasparenza (SC %) </w:t>
      </w:r>
      <w:r w:rsidRPr="007F2388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7F2388">
        <w:rPr>
          <w:rFonts w:ascii="Century Gothic" w:eastAsia="CenturyGothic" w:hAnsi="Century Gothic" w:cs="CenturyGothic"/>
          <w:b/>
          <w:sz w:val="16"/>
          <w:szCs w:val="16"/>
        </w:rPr>
        <w:t>0,60</w:t>
      </w:r>
    </w:p>
    <w:p w14:paraId="0EF988AE" w14:textId="77777777" w:rsidR="007F2388" w:rsidRPr="000B179A" w:rsidRDefault="007F2388" w:rsidP="007F2388">
      <w:pPr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0B179A">
        <w:rPr>
          <w:rFonts w:ascii="Century Gothic" w:eastAsia="CenturyGothic" w:hAnsi="Century Gothic" w:cs="CenturyGothic"/>
          <w:b/>
          <w:sz w:val="16"/>
          <w:szCs w:val="16"/>
        </w:rPr>
        <w:t xml:space="preserve">Isolamento acustico (dB) </w:t>
      </w:r>
      <w:r w:rsidRPr="000B179A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0B179A">
        <w:rPr>
          <w:rFonts w:ascii="Century Gothic" w:eastAsia="CenturyGothic" w:hAnsi="Century Gothic" w:cs="CenturyGothic"/>
          <w:b/>
          <w:sz w:val="16"/>
          <w:szCs w:val="16"/>
        </w:rPr>
        <w:t xml:space="preserve"> 25</w:t>
      </w:r>
    </w:p>
    <w:p w14:paraId="15FD41CC" w14:textId="77777777" w:rsidR="007F2388" w:rsidRDefault="007F2388" w:rsidP="007F2388"/>
    <w:sectPr w:rsidR="007F2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88"/>
    <w:rsid w:val="001A351C"/>
    <w:rsid w:val="00443643"/>
    <w:rsid w:val="00666830"/>
    <w:rsid w:val="007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FED2"/>
  <w15:chartTrackingRefBased/>
  <w15:docId w15:val="{AA31D804-1D9E-45A3-B745-CB18D0C1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</cp:lastModifiedBy>
  <cp:revision>2</cp:revision>
  <cp:lastPrinted>2020-04-20T11:13:00Z</cp:lastPrinted>
  <dcterms:created xsi:type="dcterms:W3CDTF">2020-04-08T08:56:00Z</dcterms:created>
  <dcterms:modified xsi:type="dcterms:W3CDTF">2020-04-20T11:13:00Z</dcterms:modified>
</cp:coreProperties>
</file>